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bookmarkStart w:id="4" w:name="_GoBack"/>
            <w:bookmarkEnd w:id="4"/>
            <w:r>
              <w:rPr>
                <w:b/>
                <w:bCs/>
                <w:sz w:val="22"/>
                <w:szCs w:val="22"/>
              </w:rPr>
              <w:t>МФ 1.16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BA2E4E" wp14:editId="7E8F3695">
                  <wp:extent cx="1473389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043E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80043E" w:rsidP="003423F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0043E">
              <w:rPr>
                <w:bCs/>
                <w:sz w:val="22"/>
                <w:szCs w:val="22"/>
              </w:rPr>
              <w:t>2250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043E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830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8C5D4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</w:t>
            </w:r>
            <w:r w:rsidR="008C5D45">
              <w:rPr>
                <w:bCs/>
                <w:sz w:val="22"/>
                <w:szCs w:val="22"/>
              </w:rPr>
              <w:t xml:space="preserve">Каркас сидения </w:t>
            </w:r>
            <w:r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</w:t>
            </w:r>
            <w:r w:rsidR="008C5D45">
              <w:rPr>
                <w:bCs/>
                <w:sz w:val="22"/>
                <w:szCs w:val="22"/>
              </w:rPr>
              <w:t xml:space="preserve">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8C5D4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0562F5" w:rsidP="008C5D4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</w:t>
            </w:r>
            <w:r w:rsidR="008C5D45">
              <w:rPr>
                <w:bCs/>
                <w:sz w:val="22"/>
                <w:szCs w:val="22"/>
              </w:rPr>
              <w:t xml:space="preserve">Каркас спинки </w:t>
            </w:r>
            <w:r>
              <w:rPr>
                <w:bCs/>
                <w:sz w:val="22"/>
                <w:szCs w:val="22"/>
              </w:rPr>
              <w:t xml:space="preserve">должен быть радиусной формы и должен быть </w:t>
            </w:r>
            <w:r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 с толщиной стенки не менее 2,5 </w:t>
            </w:r>
            <w:r>
              <w:rPr>
                <w:bCs/>
                <w:sz w:val="22"/>
                <w:szCs w:val="22"/>
              </w:rPr>
              <w:t>мм и из</w:t>
            </w:r>
            <w:r w:rsidRPr="0079705E">
              <w:rPr>
                <w:bCs/>
                <w:sz w:val="22"/>
                <w:szCs w:val="22"/>
              </w:rPr>
              <w:t xml:space="preserve"> металлической трубы сечением не менее </w:t>
            </w:r>
            <w:r>
              <w:rPr>
                <w:bCs/>
                <w:sz w:val="22"/>
                <w:szCs w:val="22"/>
              </w:rPr>
              <w:t>20х20</w:t>
            </w:r>
            <w:r>
              <w:rPr>
                <w:bCs/>
                <w:sz w:val="22"/>
                <w:szCs w:val="22"/>
              </w:rPr>
              <w:t xml:space="preserve"> мм с толщиной стенки не менее 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мм</w:t>
            </w:r>
            <w:r w:rsidR="008C5D45">
              <w:rPr>
                <w:bCs/>
                <w:sz w:val="22"/>
                <w:szCs w:val="22"/>
              </w:rPr>
              <w:t>.</w:t>
            </w:r>
            <w:r w:rsidR="008C5D45">
              <w:rPr>
                <w:bCs/>
                <w:sz w:val="22"/>
                <w:szCs w:val="22"/>
              </w:rPr>
              <w:t xml:space="preserve"> К каркасу должен крепиться брус в кол-ве </w:t>
            </w:r>
            <w:r w:rsidR="008C5D45">
              <w:rPr>
                <w:bCs/>
                <w:sz w:val="22"/>
                <w:szCs w:val="22"/>
              </w:rPr>
              <w:t>15</w:t>
            </w:r>
            <w:r w:rsidR="008C5D45">
              <w:rPr>
                <w:bCs/>
                <w:sz w:val="22"/>
                <w:szCs w:val="22"/>
              </w:rPr>
              <w:t xml:space="preserve">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>
              <w:rPr>
                <w:bCs/>
                <w:sz w:val="22"/>
                <w:szCs w:val="22"/>
              </w:rPr>
              <w:t xml:space="preserve">2 </w:t>
            </w:r>
            <w:r>
              <w:rPr>
                <w:bCs/>
                <w:sz w:val="22"/>
                <w:szCs w:val="22"/>
              </w:rPr>
              <w:t xml:space="preserve">шт. должен быть </w:t>
            </w:r>
            <w:r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мм, с толщиной стенки не менее 2,5 </w:t>
            </w:r>
            <w:r>
              <w:rPr>
                <w:bCs/>
                <w:sz w:val="22"/>
                <w:szCs w:val="22"/>
              </w:rPr>
              <w:t xml:space="preserve">мм. 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r>
              <w:t>Лавочка – разборная конструкция. Ножки, сидения и спинка крепятся друг другу через болтовые со</w:t>
            </w:r>
            <w:r>
              <w:lastRenderedPageBreak/>
              <w:t>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7ABE-AB45-4710-9158-96E843CA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2015-02-13T19:51:00Z</dcterms:created>
  <dcterms:modified xsi:type="dcterms:W3CDTF">2015-02-13T19:51:00Z</dcterms:modified>
</cp:coreProperties>
</file>